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14" w:rsidRDefault="004C3C14" w:rsidP="0061798C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Appendix A </w:t>
      </w:r>
    </w:p>
    <w:p w:rsidR="0011279E" w:rsidRPr="0061798C" w:rsidRDefault="004C3C14" w:rsidP="0061798C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61798C">
        <w:rPr>
          <w:rFonts w:ascii="Arial" w:hAnsi="Arial" w:cs="Arial"/>
          <w:b/>
          <w:sz w:val="28"/>
          <w:szCs w:val="28"/>
        </w:rPr>
        <w:t xml:space="preserve">Protocol for the relationship between </w:t>
      </w:r>
      <w:r>
        <w:rPr>
          <w:rFonts w:ascii="Arial" w:hAnsi="Arial" w:cs="Arial"/>
          <w:b/>
          <w:sz w:val="28"/>
          <w:szCs w:val="28"/>
        </w:rPr>
        <w:t>Grant Thornton</w:t>
      </w:r>
      <w:r w:rsidRPr="0061798C">
        <w:rPr>
          <w:rFonts w:ascii="Arial" w:hAnsi="Arial" w:cs="Arial"/>
          <w:b/>
          <w:sz w:val="28"/>
          <w:szCs w:val="28"/>
        </w:rPr>
        <w:t xml:space="preserve"> and Lancashire County Council's </w:t>
      </w:r>
      <w:r>
        <w:rPr>
          <w:rFonts w:ascii="Arial" w:hAnsi="Arial" w:cs="Arial"/>
          <w:b/>
          <w:sz w:val="28"/>
          <w:szCs w:val="28"/>
        </w:rPr>
        <w:t>I</w:t>
      </w:r>
      <w:r w:rsidRPr="0061798C">
        <w:rPr>
          <w:rFonts w:ascii="Arial" w:hAnsi="Arial" w:cs="Arial"/>
          <w:b/>
          <w:sz w:val="28"/>
          <w:szCs w:val="28"/>
        </w:rPr>
        <w:t xml:space="preserve">nternal </w:t>
      </w:r>
      <w:r>
        <w:rPr>
          <w:rFonts w:ascii="Arial" w:hAnsi="Arial" w:cs="Arial"/>
          <w:b/>
          <w:sz w:val="28"/>
          <w:szCs w:val="28"/>
        </w:rPr>
        <w:t>A</w:t>
      </w:r>
      <w:r w:rsidRPr="0061798C">
        <w:rPr>
          <w:rFonts w:ascii="Arial" w:hAnsi="Arial" w:cs="Arial"/>
          <w:b/>
          <w:sz w:val="28"/>
          <w:szCs w:val="28"/>
        </w:rPr>
        <w:t xml:space="preserve">udit </w:t>
      </w:r>
      <w:r>
        <w:rPr>
          <w:rFonts w:ascii="Arial" w:hAnsi="Arial" w:cs="Arial"/>
          <w:b/>
          <w:sz w:val="28"/>
          <w:szCs w:val="28"/>
        </w:rPr>
        <w:t>S</w:t>
      </w:r>
      <w:r w:rsidRPr="0061798C">
        <w:rPr>
          <w:rFonts w:ascii="Arial" w:hAnsi="Arial" w:cs="Arial"/>
          <w:b/>
          <w:sz w:val="28"/>
          <w:szCs w:val="28"/>
        </w:rPr>
        <w:t>ervice</w:t>
      </w:r>
    </w:p>
    <w:p w:rsidR="0011279E" w:rsidRDefault="004C3C14" w:rsidP="0061798C">
      <w:pPr>
        <w:pStyle w:val="Bullet1"/>
        <w:keepLines w:val="0"/>
        <w:numPr>
          <w:ilvl w:val="0"/>
          <w:numId w:val="0"/>
        </w:numPr>
        <w:spacing w:before="120" w:after="120"/>
        <w:rPr>
          <w:b/>
        </w:rPr>
      </w:pPr>
      <w:r>
        <w:rPr>
          <w:b/>
        </w:rPr>
        <w:t>April</w:t>
      </w:r>
      <w:r>
        <w:rPr>
          <w:b/>
        </w:rPr>
        <w:t xml:space="preserve"> 2016</w:t>
      </w:r>
    </w:p>
    <w:p w:rsidR="0011279E" w:rsidRDefault="004C3C14" w:rsidP="002C3503">
      <w:pPr>
        <w:pStyle w:val="Bullet1"/>
        <w:keepLines w:val="0"/>
        <w:numPr>
          <w:ilvl w:val="0"/>
          <w:numId w:val="0"/>
        </w:numPr>
        <w:pBdr>
          <w:top w:val="single" w:sz="4" w:space="1" w:color="auto"/>
          <w:between w:val="single" w:sz="4" w:space="1" w:color="auto"/>
        </w:pBdr>
        <w:spacing w:before="120" w:after="120"/>
        <w:rPr>
          <w:b/>
        </w:rPr>
      </w:pPr>
    </w:p>
    <w:p w:rsidR="0011279E" w:rsidRPr="0061798C" w:rsidRDefault="004C3C14" w:rsidP="0061798C">
      <w:pPr>
        <w:pStyle w:val="Bullet1"/>
        <w:keepLines w:val="0"/>
        <w:numPr>
          <w:ilvl w:val="0"/>
          <w:numId w:val="0"/>
        </w:numPr>
        <w:spacing w:before="120" w:after="120"/>
        <w:rPr>
          <w:b/>
        </w:rPr>
      </w:pPr>
      <w:r w:rsidRPr="0061798C">
        <w:rPr>
          <w:b/>
        </w:rPr>
        <w:t>Introduction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 w:rsidRPr="009116A1">
        <w:t xml:space="preserve">This protocol sets out how </w:t>
      </w:r>
      <w:r>
        <w:t xml:space="preserve">Lancashire County Council's </w:t>
      </w:r>
      <w:r>
        <w:t>I</w:t>
      </w:r>
      <w:r w:rsidRPr="009116A1">
        <w:t xml:space="preserve">nternal </w:t>
      </w:r>
      <w:r>
        <w:t xml:space="preserve">Audit Service </w:t>
      </w:r>
      <w:r w:rsidRPr="009116A1">
        <w:t xml:space="preserve">and </w:t>
      </w:r>
      <w:r>
        <w:t>Grant Thornton</w:t>
      </w:r>
      <w:r>
        <w:t xml:space="preserve"> </w:t>
      </w:r>
      <w:r>
        <w:t xml:space="preserve">UK </w:t>
      </w:r>
      <w:r>
        <w:t>LLP</w:t>
      </w:r>
      <w:r>
        <w:t>,</w:t>
      </w:r>
      <w:r w:rsidRPr="009116A1">
        <w:t xml:space="preserve"> </w:t>
      </w:r>
      <w:r>
        <w:t xml:space="preserve">as its </w:t>
      </w:r>
      <w:r w:rsidRPr="009116A1">
        <w:t xml:space="preserve">external </w:t>
      </w:r>
      <w:r w:rsidRPr="009116A1">
        <w:t>audit</w:t>
      </w:r>
      <w:r>
        <w:t>or</w:t>
      </w:r>
      <w:r>
        <w:t>,</w:t>
      </w:r>
      <w:r w:rsidRPr="009116A1">
        <w:t xml:space="preserve"> work together</w:t>
      </w:r>
      <w:r>
        <w:t>,</w:t>
      </w:r>
      <w:r w:rsidRPr="009116A1">
        <w:t xml:space="preserve"> and</w:t>
      </w:r>
      <w:r>
        <w:t xml:space="preserve"> </w:t>
      </w:r>
      <w:r>
        <w:t xml:space="preserve">it </w:t>
      </w:r>
      <w:r>
        <w:t>establishes a framework for co</w:t>
      </w:r>
      <w:r w:rsidRPr="009116A1">
        <w:t xml:space="preserve">ordination, cooperation and exchange of information. </w:t>
      </w:r>
    </w:p>
    <w:p w:rsidR="0011279E" w:rsidRPr="00DE669A" w:rsidRDefault="004C3C14" w:rsidP="0061798C">
      <w:pPr>
        <w:pStyle w:val="Bullet1"/>
        <w:keepLines w:val="0"/>
        <w:numPr>
          <w:ilvl w:val="0"/>
          <w:numId w:val="0"/>
        </w:numPr>
        <w:spacing w:before="120" w:after="120"/>
        <w:rPr>
          <w:b/>
        </w:rPr>
      </w:pPr>
      <w:r w:rsidRPr="00DE669A">
        <w:rPr>
          <w:b/>
        </w:rPr>
        <w:t>External audit responsibilities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External audit responsibilities are set out in the Code of Audit Practice, as developed by the </w:t>
      </w:r>
      <w:r w:rsidRPr="001161AD">
        <w:t xml:space="preserve">National </w:t>
      </w:r>
      <w:r w:rsidRPr="001161AD">
        <w:t xml:space="preserve">Audit </w:t>
      </w:r>
      <w:r w:rsidRPr="001161AD">
        <w:t>Office.</w:t>
      </w:r>
      <w:r w:rsidRPr="001161AD">
        <w:t xml:space="preserve"> Under </w:t>
      </w:r>
      <w:r>
        <w:t>this code the externa</w:t>
      </w:r>
      <w:r>
        <w:t>l auditors are responsible for:</w:t>
      </w:r>
    </w:p>
    <w:p w:rsidR="00356FFC" w:rsidRDefault="004C3C14" w:rsidP="00C958C3">
      <w:pPr>
        <w:pStyle w:val="Bullet1"/>
        <w:keepLines w:val="0"/>
        <w:spacing w:before="120" w:after="120"/>
      </w:pPr>
      <w:r>
        <w:t>E</w:t>
      </w:r>
      <w:r>
        <w:t xml:space="preserve">xpressing an opinion on the </w:t>
      </w:r>
      <w:r>
        <w:t>c</w:t>
      </w:r>
      <w:r>
        <w:t xml:space="preserve">ouncil’s financial statements; </w:t>
      </w:r>
      <w:r>
        <w:t>and</w:t>
      </w:r>
    </w:p>
    <w:p w:rsidR="00356FFC" w:rsidRDefault="004C3C14" w:rsidP="00C958C3">
      <w:pPr>
        <w:pStyle w:val="Bullet1"/>
        <w:keepLines w:val="0"/>
        <w:spacing w:before="120" w:after="120"/>
      </w:pPr>
      <w:r>
        <w:t>R</w:t>
      </w:r>
      <w:r>
        <w:t xml:space="preserve">eviewing whether the </w:t>
      </w:r>
      <w:r>
        <w:t>c</w:t>
      </w:r>
      <w:r>
        <w:t xml:space="preserve">ouncil has made proper arrangements for securing </w:t>
      </w:r>
      <w:r>
        <w:t xml:space="preserve">financial resilience and </w:t>
      </w:r>
      <w:r>
        <w:t>economy, efficiency a</w:t>
      </w:r>
      <w:r>
        <w:t>nd effectiveness in its use of resources.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In addition,</w:t>
      </w:r>
      <w:r w:rsidRPr="009E1702">
        <w:t xml:space="preserve"> </w:t>
      </w:r>
      <w:r>
        <w:t xml:space="preserve">the external auditor </w:t>
      </w:r>
      <w:r>
        <w:t>may be</w:t>
      </w:r>
      <w:r>
        <w:t xml:space="preserve"> required </w:t>
      </w:r>
      <w:r w:rsidRPr="009E1702">
        <w:t xml:space="preserve">to certify some claims and returns for grants or subsidies paid by the government departments and public bodies to </w:t>
      </w:r>
      <w:r>
        <w:t xml:space="preserve">Lancashire County </w:t>
      </w:r>
      <w:r w:rsidRPr="009E1702">
        <w:t>Council</w:t>
      </w:r>
      <w:r>
        <w:t>.</w:t>
      </w:r>
    </w:p>
    <w:p w:rsidR="0011279E" w:rsidRPr="000D39C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When completing its wo</w:t>
      </w:r>
      <w:r>
        <w:t xml:space="preserve">rk on the financial statements the external auditor is </w:t>
      </w:r>
      <w:proofErr w:type="gramStart"/>
      <w:r>
        <w:t>required</w:t>
      </w:r>
      <w:proofErr w:type="gramEnd"/>
      <w:r>
        <w:t xml:space="preserve"> to comply with I</w:t>
      </w:r>
      <w:r w:rsidRPr="00AD44C7">
        <w:t>nternational Standards on Auditing (ISA)</w:t>
      </w:r>
      <w:r>
        <w:t>,</w:t>
      </w:r>
      <w:r>
        <w:t xml:space="preserve"> as adapted for application </w:t>
      </w:r>
      <w:r>
        <w:t xml:space="preserve">in the </w:t>
      </w:r>
      <w:r w:rsidRPr="00CC09DA">
        <w:t>UK and Ireland</w:t>
      </w:r>
      <w:r>
        <w:t>. The external auditor is required by these ISAs</w:t>
      </w:r>
      <w:r w:rsidRPr="000D39CE">
        <w:t xml:space="preserve">, </w:t>
      </w:r>
      <w:r>
        <w:t xml:space="preserve">amongst other things, </w:t>
      </w:r>
      <w:r w:rsidRPr="000D39CE">
        <w:t>to:</w:t>
      </w:r>
    </w:p>
    <w:p w:rsidR="0011279E" w:rsidRPr="000D39CE" w:rsidRDefault="004C3C14" w:rsidP="0061798C">
      <w:pPr>
        <w:pStyle w:val="Bullet1"/>
        <w:keepLines w:val="0"/>
        <w:spacing w:before="120" w:after="120"/>
      </w:pPr>
      <w:r>
        <w:t>G</w:t>
      </w:r>
      <w:r w:rsidRPr="000D39CE">
        <w:t>ain an un</w:t>
      </w:r>
      <w:r w:rsidRPr="000D39CE">
        <w:t>derstanding of the information systems that are relevant to producing material figures in the accounts;</w:t>
      </w:r>
    </w:p>
    <w:p w:rsidR="0011279E" w:rsidRPr="000D39CE" w:rsidRDefault="004C3C14" w:rsidP="0061798C">
      <w:pPr>
        <w:pStyle w:val="Bullet1"/>
        <w:keepLines w:val="0"/>
        <w:spacing w:before="120" w:after="120"/>
      </w:pPr>
      <w:r>
        <w:t>G</w:t>
      </w:r>
      <w:r w:rsidRPr="000D39CE">
        <w:t>ain an understanding of the way transactions in these systems are initiated, recorded, processed and reported;</w:t>
      </w:r>
    </w:p>
    <w:p w:rsidR="0011279E" w:rsidRDefault="004C3C14" w:rsidP="0061798C">
      <w:pPr>
        <w:pStyle w:val="Bullet1"/>
        <w:keepLines w:val="0"/>
        <w:spacing w:before="120" w:after="120"/>
      </w:pPr>
      <w:r>
        <w:t>Identify the</w:t>
      </w:r>
      <w:r w:rsidRPr="000D39CE">
        <w:t xml:space="preserve"> risks of material </w:t>
      </w:r>
      <w:r>
        <w:t>mis</w:t>
      </w:r>
      <w:r w:rsidRPr="000D39CE">
        <w:t>statem</w:t>
      </w:r>
      <w:r w:rsidRPr="000D39CE">
        <w:t xml:space="preserve">ent </w:t>
      </w:r>
      <w:r>
        <w:t>in the financial statements whether arising from fraud or error; and</w:t>
      </w:r>
    </w:p>
    <w:p w:rsidR="0011279E" w:rsidRPr="000D39CE" w:rsidRDefault="004C3C14" w:rsidP="0061798C">
      <w:pPr>
        <w:pStyle w:val="Bullet1"/>
        <w:keepLines w:val="0"/>
        <w:spacing w:before="120" w:after="120"/>
      </w:pPr>
      <w:r>
        <w:t>Plan</w:t>
      </w:r>
      <w:r w:rsidRPr="000D39CE">
        <w:t xml:space="preserve"> </w:t>
      </w:r>
      <w:r>
        <w:t xml:space="preserve">and </w:t>
      </w:r>
      <w:r w:rsidRPr="000D39CE">
        <w:t xml:space="preserve">carry out tests of controls </w:t>
      </w:r>
      <w:r>
        <w:t>and/</w:t>
      </w:r>
      <w:r>
        <w:t xml:space="preserve"> </w:t>
      </w:r>
      <w:r>
        <w:t>or detailed transactions to address those specific risks as well as</w:t>
      </w:r>
      <w:r>
        <w:t xml:space="preserve"> the underlying inherent risks.</w:t>
      </w:r>
    </w:p>
    <w:p w:rsidR="0011279E" w:rsidRPr="002C3503" w:rsidRDefault="004C3C14" w:rsidP="002C3503">
      <w:pPr>
        <w:pStyle w:val="Bullet1"/>
        <w:keepLines w:val="0"/>
        <w:numPr>
          <w:ilvl w:val="0"/>
          <w:numId w:val="0"/>
        </w:numPr>
        <w:spacing w:before="120" w:after="120"/>
        <w:rPr>
          <w:b/>
        </w:rPr>
      </w:pPr>
      <w:r w:rsidRPr="002C3503">
        <w:rPr>
          <w:b/>
        </w:rPr>
        <w:t>Internal audit responsibilities</w:t>
      </w:r>
    </w:p>
    <w:p w:rsidR="008D2605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The </w:t>
      </w:r>
      <w:r>
        <w:t>Chartered Institute of Public Finance and Accountancy (</w:t>
      </w:r>
      <w:r>
        <w:t>CIPFA</w:t>
      </w:r>
      <w:r>
        <w:t>) is the relevant standard setter for internal audit in local government and, with the other standard setters for the public sector</w:t>
      </w:r>
      <w:r w:rsidRPr="008D2605">
        <w:t xml:space="preserve"> </w:t>
      </w:r>
      <w:r>
        <w:t xml:space="preserve">in the United Kingdom, it has adopted a common set of Public </w:t>
      </w:r>
      <w:r>
        <w:t>Sector Internal Audit Standards (PSIAS) from 1 April 2013. The PSIAS encompass the mandatory elements of the Global Institute of Internal Auditors' International Professional Practices Framework, comprising:</w:t>
      </w:r>
    </w:p>
    <w:p w:rsidR="008D2605" w:rsidRDefault="004C3C14" w:rsidP="001C5FA0">
      <w:pPr>
        <w:pStyle w:val="Bullet1"/>
        <w:keepLines w:val="0"/>
        <w:numPr>
          <w:ilvl w:val="0"/>
          <w:numId w:val="5"/>
        </w:numPr>
        <w:spacing w:before="120" w:after="120"/>
      </w:pPr>
      <w:r>
        <w:t>Definition of Internal Auditing</w:t>
      </w:r>
    </w:p>
    <w:p w:rsidR="008D2605" w:rsidRDefault="004C3C14" w:rsidP="001C5FA0">
      <w:pPr>
        <w:pStyle w:val="Bullet1"/>
        <w:keepLines w:val="0"/>
        <w:numPr>
          <w:ilvl w:val="0"/>
          <w:numId w:val="5"/>
        </w:numPr>
        <w:spacing w:before="120" w:after="120"/>
      </w:pPr>
      <w:r>
        <w:lastRenderedPageBreak/>
        <w:t>Code of Ethics</w:t>
      </w:r>
    </w:p>
    <w:p w:rsidR="008D2605" w:rsidRDefault="004C3C14" w:rsidP="001C5FA0">
      <w:pPr>
        <w:pStyle w:val="Bullet1"/>
        <w:keepLines w:val="0"/>
        <w:numPr>
          <w:ilvl w:val="0"/>
          <w:numId w:val="5"/>
        </w:numPr>
        <w:spacing w:before="120" w:after="120"/>
      </w:pPr>
      <w:r>
        <w:t>I</w:t>
      </w:r>
      <w:r>
        <w:t>nternational Standards for the Professional Practice of Internal Auditing (including interpretations and glossary).</w:t>
      </w:r>
    </w:p>
    <w:p w:rsidR="00767B39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Internal Auditing is defined as: </w:t>
      </w:r>
    </w:p>
    <w:p w:rsidR="00767B39" w:rsidRDefault="004C3C14" w:rsidP="0061798C">
      <w:pPr>
        <w:pStyle w:val="Bullet1"/>
        <w:keepLines w:val="0"/>
        <w:numPr>
          <w:ilvl w:val="0"/>
          <w:numId w:val="0"/>
        </w:numPr>
        <w:spacing w:before="120" w:after="120"/>
        <w:ind w:left="720"/>
      </w:pPr>
      <w:r>
        <w:t>'</w:t>
      </w:r>
      <w:proofErr w:type="gramStart"/>
      <w:r>
        <w:t>a</w:t>
      </w:r>
      <w:r w:rsidRPr="00DE669A">
        <w:t>n</w:t>
      </w:r>
      <w:proofErr w:type="gramEnd"/>
      <w:r w:rsidRPr="00DE669A">
        <w:t xml:space="preserve"> </w:t>
      </w:r>
      <w:r>
        <w:t xml:space="preserve">independent, </w:t>
      </w:r>
      <w:r w:rsidRPr="00DE669A">
        <w:t xml:space="preserve">objective </w:t>
      </w:r>
      <w:r w:rsidRPr="00DE669A">
        <w:t xml:space="preserve">assurance </w:t>
      </w:r>
      <w:r>
        <w:t>and consulting activity designed to add value and improve and organis</w:t>
      </w:r>
      <w:r>
        <w:t>ation's operations. It helps an organisation accomplish its objectives by bringing a systematic, disciplined approach to evaluate and improve the effectiveness of risk management, control and governance processes.</w:t>
      </w:r>
    </w:p>
    <w:p w:rsidR="00E74BB7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The I</w:t>
      </w:r>
      <w:r w:rsidRPr="00C073B8">
        <w:t>nternal</w:t>
      </w:r>
      <w:r>
        <w:t xml:space="preserve"> Audit Service is therefore re</w:t>
      </w:r>
      <w:r>
        <w:t>quired to formulate an annual risk-based plan of work</w:t>
      </w:r>
      <w:r>
        <w:t xml:space="preserve">. This is </w:t>
      </w:r>
      <w:r>
        <w:t>directed to providing assurance over, amongst other internal controls, the systems that produce material figures in the council's financial statements: these systems control areas of significan</w:t>
      </w:r>
      <w:r>
        <w:t xml:space="preserve">t financial risk to the council. </w:t>
      </w:r>
      <w:r>
        <w:t>The I</w:t>
      </w:r>
      <w:r>
        <w:t>nternal Audit Service is similarly obliged to provide an annual opinion to the council on its risk management, control and governance arrangements, which will inform the external auditor's work.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There is therefore</w:t>
      </w:r>
      <w:r w:rsidRPr="000F51D3">
        <w:t xml:space="preserve"> </w:t>
      </w:r>
      <w:r>
        <w:t>a na</w:t>
      </w:r>
      <w:r>
        <w:t>tural alignment of internal audit work with external audit.</w:t>
      </w:r>
    </w:p>
    <w:p w:rsidR="0008541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Th</w:t>
      </w:r>
      <w:r>
        <w:t xml:space="preserve">e PSIAS set </w:t>
      </w:r>
      <w:r>
        <w:t xml:space="preserve">out the professional standards the council's </w:t>
      </w:r>
      <w:r>
        <w:t>I</w:t>
      </w:r>
      <w:r>
        <w:t>nternal Audit Service</w:t>
      </w:r>
      <w:r w:rsidRPr="0008541E">
        <w:t xml:space="preserve"> </w:t>
      </w:r>
      <w:r>
        <w:t>is required to meet in relation to, amongst other things, independence and ethics, due professional care, and plan</w:t>
      </w:r>
      <w:r>
        <w:t>ning, undertaking and reporting internal audit work.</w:t>
      </w:r>
    </w:p>
    <w:p w:rsidR="0011279E" w:rsidRPr="00DE669A" w:rsidRDefault="004C3C14" w:rsidP="0061798C">
      <w:pPr>
        <w:pStyle w:val="Bullet1"/>
        <w:keepLines w:val="0"/>
        <w:numPr>
          <w:ilvl w:val="0"/>
          <w:numId w:val="0"/>
        </w:numPr>
        <w:spacing w:before="120" w:after="120"/>
        <w:rPr>
          <w:b/>
        </w:rPr>
      </w:pPr>
      <w:r w:rsidRPr="00DE669A">
        <w:rPr>
          <w:b/>
        </w:rPr>
        <w:t>The external and internal audit relationship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In the interests of overall efficiency and effectiveness, </w:t>
      </w:r>
      <w:r>
        <w:t>Grant Thornton</w:t>
      </w:r>
      <w:r>
        <w:t xml:space="preserve"> </w:t>
      </w:r>
      <w:r w:rsidRPr="00103C35">
        <w:t>seek</w:t>
      </w:r>
      <w:r>
        <w:t>s</w:t>
      </w:r>
      <w:r w:rsidRPr="00103C35">
        <w:t xml:space="preserve"> to </w:t>
      </w:r>
      <w:r w:rsidRPr="00103C35">
        <w:t>maximi</w:t>
      </w:r>
      <w:r>
        <w:t>s</w:t>
      </w:r>
      <w:r w:rsidRPr="00103C35">
        <w:t xml:space="preserve">e </w:t>
      </w:r>
      <w:r>
        <w:t xml:space="preserve">its </w:t>
      </w:r>
      <w:r w:rsidRPr="00103C35">
        <w:t xml:space="preserve">reliance on the work of </w:t>
      </w:r>
      <w:r>
        <w:t xml:space="preserve">the council's </w:t>
      </w:r>
      <w:r>
        <w:t xml:space="preserve">Internal </w:t>
      </w:r>
      <w:r>
        <w:t>Audit Service</w:t>
      </w:r>
      <w:r>
        <w:t>, m</w:t>
      </w:r>
      <w:r>
        <w:t>ost commonly</w:t>
      </w:r>
      <w:r>
        <w:t xml:space="preserve"> </w:t>
      </w:r>
      <w:r w:rsidRPr="00103C35">
        <w:t xml:space="preserve">in relation to the </w:t>
      </w:r>
      <w:r>
        <w:t>c</w:t>
      </w:r>
      <w:r w:rsidRPr="00103C35">
        <w:t>ouncil’s financial systems</w:t>
      </w:r>
      <w:r>
        <w:t xml:space="preserve">, but also in other areas where this is possible.  The </w:t>
      </w:r>
      <w:r>
        <w:t>I</w:t>
      </w:r>
      <w:r>
        <w:t xml:space="preserve">nternal Audit Service seeks to provide whatever support is necessary and appropriate to </w:t>
      </w:r>
      <w:r>
        <w:t>Grant Thornton</w:t>
      </w:r>
      <w:r>
        <w:t xml:space="preserve"> </w:t>
      </w:r>
      <w:r>
        <w:t xml:space="preserve">as </w:t>
      </w:r>
      <w:r>
        <w:t xml:space="preserve">the </w:t>
      </w:r>
      <w:r>
        <w:t>council's external auditor</w:t>
      </w:r>
      <w:r w:rsidRPr="00103C35">
        <w:t xml:space="preserve">. </w:t>
      </w:r>
    </w:p>
    <w:p w:rsidR="0011279E" w:rsidRPr="00103C35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ISA 610 refers specifically to 'considering the work of internal audit' and</w:t>
      </w:r>
      <w:r w:rsidRPr="00103C35">
        <w:t xml:space="preserve"> requires external auditors to:</w:t>
      </w:r>
    </w:p>
    <w:p w:rsidR="0011279E" w:rsidRPr="00103C35" w:rsidRDefault="004C3C14" w:rsidP="0061798C">
      <w:pPr>
        <w:pStyle w:val="Bullet1"/>
        <w:keepLines w:val="0"/>
        <w:spacing w:before="120" w:after="120"/>
      </w:pPr>
      <w:r>
        <w:t>R</w:t>
      </w:r>
      <w:r w:rsidRPr="00103C35">
        <w:t xml:space="preserve">eview </w:t>
      </w:r>
      <w:r>
        <w:t xml:space="preserve">the </w:t>
      </w:r>
      <w:r>
        <w:t xml:space="preserve">Internal </w:t>
      </w:r>
      <w:r>
        <w:t xml:space="preserve">Audit Service </w:t>
      </w:r>
      <w:r w:rsidRPr="00103C35">
        <w:t xml:space="preserve">to confirm that it meets, as a minimum, the requirements of the </w:t>
      </w:r>
      <w:r>
        <w:t xml:space="preserve">PSIAS, to </w:t>
      </w:r>
      <w:r w:rsidRPr="00103C35">
        <w:t xml:space="preserve">provide assurance that </w:t>
      </w:r>
      <w:r>
        <w:t xml:space="preserve">its </w:t>
      </w:r>
      <w:r w:rsidRPr="00103C35">
        <w:t>work can be re</w:t>
      </w:r>
      <w:r w:rsidRPr="00103C35">
        <w:t>lied on to inform external audit conclusions;</w:t>
      </w:r>
    </w:p>
    <w:p w:rsidR="0011279E" w:rsidRDefault="004C3C14" w:rsidP="0061798C">
      <w:pPr>
        <w:pStyle w:val="Bullet1"/>
        <w:keepLines w:val="0"/>
        <w:spacing w:before="120" w:after="120"/>
      </w:pPr>
      <w:r>
        <w:t>R</w:t>
      </w:r>
      <w:r w:rsidRPr="00103C35">
        <w:t>eview whether</w:t>
      </w:r>
      <w:r>
        <w:t xml:space="preserve"> the </w:t>
      </w:r>
      <w:r>
        <w:t xml:space="preserve">Internal </w:t>
      </w:r>
      <w:r>
        <w:t xml:space="preserve">Audit Service </w:t>
      </w:r>
      <w:r w:rsidRPr="00103C35">
        <w:t xml:space="preserve">is effective; </w:t>
      </w:r>
    </w:p>
    <w:p w:rsidR="0011279E" w:rsidRDefault="004C3C14" w:rsidP="0061798C">
      <w:pPr>
        <w:pStyle w:val="Bullet1"/>
        <w:keepLines w:val="0"/>
        <w:spacing w:before="120" w:after="120"/>
      </w:pPr>
      <w:r>
        <w:t>R</w:t>
      </w:r>
      <w:r w:rsidRPr="00A00814">
        <w:t xml:space="preserve">eview (and seek to place reliance on) specific pieces of </w:t>
      </w:r>
      <w:r>
        <w:t xml:space="preserve">internal audit </w:t>
      </w:r>
      <w:r w:rsidRPr="00A00814">
        <w:t xml:space="preserve">work, where that work covers areas relevant to </w:t>
      </w:r>
      <w:r>
        <w:t xml:space="preserve">their external audit objectives; </w:t>
      </w:r>
      <w:r>
        <w:t>and</w:t>
      </w:r>
    </w:p>
    <w:p w:rsidR="0011279E" w:rsidRPr="00A00814" w:rsidRDefault="004C3C14" w:rsidP="0061798C">
      <w:pPr>
        <w:pStyle w:val="Bullet1"/>
        <w:keepLines w:val="0"/>
        <w:spacing w:before="120" w:after="120"/>
      </w:pPr>
      <w:r>
        <w:t xml:space="preserve">Evaluate the work of the </w:t>
      </w:r>
      <w:r>
        <w:t xml:space="preserve">Internal </w:t>
      </w:r>
      <w:r>
        <w:t>Audit Service, w</w:t>
      </w:r>
      <w:r w:rsidRPr="00103C35">
        <w:t xml:space="preserve">here external auditors intend to use </w:t>
      </w:r>
      <w:r>
        <w:t xml:space="preserve">internal audit </w:t>
      </w:r>
      <w:r w:rsidRPr="00103C35">
        <w:t xml:space="preserve">work to inform </w:t>
      </w:r>
      <w:r>
        <w:t xml:space="preserve">their </w:t>
      </w:r>
      <w:r w:rsidRPr="00103C35">
        <w:t>conclusions</w:t>
      </w:r>
      <w:r>
        <w:t xml:space="preserve">. This </w:t>
      </w:r>
      <w:r w:rsidRPr="00103C35">
        <w:t>may involve re-performance</w:t>
      </w:r>
      <w:r>
        <w:t xml:space="preserve"> of a sample of work</w:t>
      </w:r>
      <w:r w:rsidRPr="00103C35">
        <w:t xml:space="preserve">, testing similar items or observing </w:t>
      </w:r>
      <w:r>
        <w:t xml:space="preserve">internal audit </w:t>
      </w:r>
      <w:r w:rsidRPr="00103C35">
        <w:t>work</w:t>
      </w:r>
      <w:r>
        <w:t xml:space="preserve"> in progr</w:t>
      </w:r>
      <w:r>
        <w:t>ess</w:t>
      </w:r>
      <w:r w:rsidRPr="00103C35">
        <w:t>.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When </w:t>
      </w:r>
      <w:r>
        <w:t>Grant Thornton undertakes</w:t>
      </w:r>
      <w:r>
        <w:t xml:space="preserve"> a formal review of the </w:t>
      </w:r>
      <w:r>
        <w:t xml:space="preserve">Internal </w:t>
      </w:r>
      <w:r>
        <w:t>Audit Service, it will disc</w:t>
      </w:r>
      <w:r>
        <w:t xml:space="preserve">uss its findings with the </w:t>
      </w:r>
      <w:r>
        <w:t>Head of Service, Internal Audit</w:t>
      </w:r>
      <w:r>
        <w:t xml:space="preserve"> and provide a </w:t>
      </w:r>
      <w:r>
        <w:t>report to the council.</w:t>
      </w:r>
      <w:bookmarkStart w:id="0" w:name="_GoBack"/>
      <w:bookmarkEnd w:id="0"/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lastRenderedPageBreak/>
        <w:t xml:space="preserve">The </w:t>
      </w:r>
      <w:r>
        <w:t xml:space="preserve">Internal </w:t>
      </w:r>
      <w:r>
        <w:t>Audit Service will take account of the work undertake</w:t>
      </w:r>
      <w:r>
        <w:t xml:space="preserve">n by </w:t>
      </w:r>
      <w:r>
        <w:t xml:space="preserve">Grant Thornton </w:t>
      </w:r>
      <w:r>
        <w:t>in assessing the framework of assurance available to the council.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Both sets of auditors share with each other their risk assessments of the </w:t>
      </w:r>
      <w:r>
        <w:t>c</w:t>
      </w:r>
      <w:r>
        <w:t xml:space="preserve">ouncil and their related work programmes. This informs </w:t>
      </w:r>
      <w:r>
        <w:t>both</w:t>
      </w:r>
      <w:r>
        <w:t xml:space="preserve"> risk assessments and helps to ident</w:t>
      </w:r>
      <w:r>
        <w:t xml:space="preserve">ify opportunities for reliance on work planned to be carried out by the </w:t>
      </w:r>
      <w:r>
        <w:t>I</w:t>
      </w:r>
      <w:r>
        <w:t xml:space="preserve">nternal Audit Service. </w:t>
      </w:r>
    </w:p>
    <w:p w:rsidR="0011279E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Regular liaison meetings are programmed to facilitate this and both sets of auditors share working papers and reports as needed.</w:t>
      </w:r>
    </w:p>
    <w:p w:rsidR="0011279E" w:rsidRDefault="004C3C14" w:rsidP="00A91253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 xml:space="preserve">In undertaking work that </w:t>
      </w:r>
      <w:r>
        <w:t>Grant</w:t>
      </w:r>
      <w:r>
        <w:t xml:space="preserve"> Thornton</w:t>
      </w:r>
      <w:r>
        <w:t xml:space="preserve"> </w:t>
      </w:r>
      <w:r>
        <w:t xml:space="preserve">may </w:t>
      </w:r>
      <w:r>
        <w:t xml:space="preserve">wish to use to support its external audit opinion on the council's financial statements, the </w:t>
      </w:r>
      <w:r>
        <w:t>I</w:t>
      </w:r>
      <w:r>
        <w:t>nternal Audit Service will p</w:t>
      </w:r>
      <w:r>
        <w:t xml:space="preserve">rovide access to the working papers and supporting documentation necessary for the external auditor to assess this work </w:t>
      </w:r>
      <w:r>
        <w:t>in detail.</w:t>
      </w:r>
    </w:p>
    <w:p w:rsidR="00003DB9" w:rsidRDefault="004C3C14" w:rsidP="001C5FA0">
      <w:pPr>
        <w:pStyle w:val="Bullet1"/>
        <w:keepLines w:val="0"/>
        <w:numPr>
          <w:ilvl w:val="0"/>
          <w:numId w:val="4"/>
        </w:numPr>
        <w:spacing w:before="120" w:after="120"/>
        <w:ind w:left="426" w:hanging="426"/>
      </w:pPr>
      <w:r>
        <w:t>Both internal and external audit will ensure that whenever documentation is obt</w:t>
      </w:r>
      <w:r>
        <w:t>ained from the other auditor</w:t>
      </w:r>
      <w:r>
        <w:t xml:space="preserve"> will be returned promptly and, if used in any published document, will be appropriately cited.</w:t>
      </w:r>
    </w:p>
    <w:p w:rsidR="00003DB9" w:rsidRDefault="004C3C14" w:rsidP="00003DB9">
      <w:pPr>
        <w:pStyle w:val="Bullet1"/>
        <w:keepLines w:val="0"/>
        <w:numPr>
          <w:ilvl w:val="0"/>
          <w:numId w:val="0"/>
        </w:numPr>
        <w:spacing w:before="120" w:after="120"/>
      </w:pPr>
    </w:p>
    <w:sectPr w:rsidR="00003DB9" w:rsidSect="0061798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3C14">
      <w:pPr>
        <w:spacing w:after="0" w:line="240" w:lineRule="auto"/>
      </w:pPr>
      <w:r>
        <w:separator/>
      </w:r>
    </w:p>
  </w:endnote>
  <w:endnote w:type="continuationSeparator" w:id="0">
    <w:p w:rsidR="00000000" w:rsidRDefault="004C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3C14">
      <w:pPr>
        <w:spacing w:after="0" w:line="240" w:lineRule="auto"/>
      </w:pPr>
      <w:r>
        <w:separator/>
      </w:r>
    </w:p>
  </w:footnote>
  <w:footnote w:type="continuationSeparator" w:id="0">
    <w:p w:rsidR="00000000" w:rsidRDefault="004C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403"/>
    <w:multiLevelType w:val="hybridMultilevel"/>
    <w:tmpl w:val="6C4C1F44"/>
    <w:lvl w:ilvl="0" w:tplc="0D306458">
      <w:start w:val="1"/>
      <w:numFmt w:val="decimal"/>
      <w:pStyle w:val="Bodytextnumbered"/>
      <w:lvlText w:val="%1"/>
      <w:lvlJc w:val="right"/>
      <w:pPr>
        <w:tabs>
          <w:tab w:val="num" w:pos="397"/>
        </w:tabs>
        <w:ind w:left="397" w:hanging="227"/>
      </w:pPr>
      <w:rPr>
        <w:rFonts w:cs="Times New Roman" w:hint="default"/>
        <w:b/>
        <w:i w:val="0"/>
        <w:color w:val="083863"/>
        <w:sz w:val="20"/>
        <w:szCs w:val="20"/>
      </w:rPr>
    </w:lvl>
    <w:lvl w:ilvl="1" w:tplc="1A467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E6E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846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color w:val="083863"/>
        <w:sz w:val="20"/>
        <w:szCs w:val="20"/>
      </w:rPr>
    </w:lvl>
    <w:lvl w:ilvl="4" w:tplc="B3684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E02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869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B22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29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7B398B"/>
    <w:multiLevelType w:val="hybridMultilevel"/>
    <w:tmpl w:val="AD229886"/>
    <w:lvl w:ilvl="0" w:tplc="72BE75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6AA6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9267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2498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2070E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8438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372C4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22B8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E8D0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3706D6"/>
    <w:multiLevelType w:val="hybridMultilevel"/>
    <w:tmpl w:val="05DC141E"/>
    <w:lvl w:ilvl="0" w:tplc="61F423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A1EEC42E" w:tentative="1">
      <w:start w:val="1"/>
      <w:numFmt w:val="lowerLetter"/>
      <w:lvlText w:val="%2."/>
      <w:lvlJc w:val="left"/>
      <w:pPr>
        <w:ind w:left="1440" w:hanging="360"/>
      </w:pPr>
    </w:lvl>
    <w:lvl w:ilvl="2" w:tplc="C5167346" w:tentative="1">
      <w:start w:val="1"/>
      <w:numFmt w:val="lowerRoman"/>
      <w:lvlText w:val="%3."/>
      <w:lvlJc w:val="right"/>
      <w:pPr>
        <w:ind w:left="2160" w:hanging="180"/>
      </w:pPr>
    </w:lvl>
    <w:lvl w:ilvl="3" w:tplc="9F7012AA" w:tentative="1">
      <w:start w:val="1"/>
      <w:numFmt w:val="decimal"/>
      <w:lvlText w:val="%4."/>
      <w:lvlJc w:val="left"/>
      <w:pPr>
        <w:ind w:left="2880" w:hanging="360"/>
      </w:pPr>
    </w:lvl>
    <w:lvl w:ilvl="4" w:tplc="78806BDA" w:tentative="1">
      <w:start w:val="1"/>
      <w:numFmt w:val="lowerLetter"/>
      <w:lvlText w:val="%5."/>
      <w:lvlJc w:val="left"/>
      <w:pPr>
        <w:ind w:left="3600" w:hanging="360"/>
      </w:pPr>
    </w:lvl>
    <w:lvl w:ilvl="5" w:tplc="E32EEA66" w:tentative="1">
      <w:start w:val="1"/>
      <w:numFmt w:val="lowerRoman"/>
      <w:lvlText w:val="%6."/>
      <w:lvlJc w:val="right"/>
      <w:pPr>
        <w:ind w:left="4320" w:hanging="180"/>
      </w:pPr>
    </w:lvl>
    <w:lvl w:ilvl="6" w:tplc="DB5C168A" w:tentative="1">
      <w:start w:val="1"/>
      <w:numFmt w:val="decimal"/>
      <w:lvlText w:val="%7."/>
      <w:lvlJc w:val="left"/>
      <w:pPr>
        <w:ind w:left="5040" w:hanging="360"/>
      </w:pPr>
    </w:lvl>
    <w:lvl w:ilvl="7" w:tplc="2BFE155C" w:tentative="1">
      <w:start w:val="1"/>
      <w:numFmt w:val="lowerLetter"/>
      <w:lvlText w:val="%8."/>
      <w:lvlJc w:val="left"/>
      <w:pPr>
        <w:ind w:left="5760" w:hanging="360"/>
      </w:pPr>
    </w:lvl>
    <w:lvl w:ilvl="8" w:tplc="ACEA4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24F3B"/>
    <w:multiLevelType w:val="hybridMultilevel"/>
    <w:tmpl w:val="CBC28D86"/>
    <w:lvl w:ilvl="0" w:tplc="DFF450A0">
      <w:start w:val="1"/>
      <w:numFmt w:val="bullet"/>
      <w:pStyle w:val="Bullet1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6652E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56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47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AE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668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D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0F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5EB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2829"/>
    <w:multiLevelType w:val="hybridMultilevel"/>
    <w:tmpl w:val="B36A6C6C"/>
    <w:lvl w:ilvl="0" w:tplc="87368686">
      <w:start w:val="1"/>
      <w:numFmt w:val="decimal"/>
      <w:pStyle w:val="ActionPlan"/>
      <w:lvlText w:val="R%1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676AD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740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E9CE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10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3A1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D8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60F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204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14"/>
    <w:rsid w:val="004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F072CF-BBFF-4516-8CE3-FBFCE95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07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D44C7"/>
    <w:pPr>
      <w:spacing w:before="180" w:after="150" w:line="288" w:lineRule="atLeast"/>
      <w:outlineLvl w:val="2"/>
    </w:pPr>
    <w:rPr>
      <w:rFonts w:ascii="Helvetica" w:eastAsia="Times New Roman" w:hAnsi="Helvetica" w:cs="Helvetica"/>
      <w:b/>
      <w:bCs/>
      <w:color w:val="666666"/>
      <w:sz w:val="28"/>
      <w:szCs w:val="28"/>
      <w:lang w:eastAsia="en-GB"/>
    </w:rPr>
  </w:style>
  <w:style w:type="paragraph" w:styleId="Heading4">
    <w:name w:val="heading 4"/>
    <w:basedOn w:val="Normal"/>
    <w:link w:val="Heading4Char"/>
    <w:uiPriority w:val="99"/>
    <w:qFormat/>
    <w:rsid w:val="00AD44C7"/>
    <w:pPr>
      <w:spacing w:before="150" w:after="150" w:line="300" w:lineRule="atLeast"/>
      <w:outlineLvl w:val="3"/>
    </w:pPr>
    <w:rPr>
      <w:rFonts w:ascii="Helvetica" w:eastAsia="Times New Roman" w:hAnsi="Helvetica" w:cs="Helvetica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44C7"/>
    <w:rPr>
      <w:rFonts w:ascii="Helvetica" w:hAnsi="Helvetica" w:cs="Helvetica"/>
      <w:b/>
      <w:bCs/>
      <w:color w:val="666666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44C7"/>
    <w:rPr>
      <w:rFonts w:ascii="Helvetica" w:hAnsi="Helvetica" w:cs="Helvetica"/>
      <w:b/>
      <w:bCs/>
      <w:sz w:val="20"/>
      <w:szCs w:val="20"/>
      <w:lang w:eastAsia="en-GB"/>
    </w:rPr>
  </w:style>
  <w:style w:type="paragraph" w:customStyle="1" w:styleId="BodyText1">
    <w:name w:val="Body Text1"/>
    <w:basedOn w:val="Normal"/>
    <w:link w:val="BodytextChar"/>
    <w:uiPriority w:val="99"/>
    <w:rsid w:val="006F6CE5"/>
    <w:pPr>
      <w:keepLines/>
      <w:spacing w:before="140" w:after="140" w:line="240" w:lineRule="auto"/>
      <w:ind w:left="397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uiPriority w:val="99"/>
    <w:locked/>
    <w:rsid w:val="006F6CE5"/>
    <w:rPr>
      <w:rFonts w:ascii="Arial" w:hAnsi="Arial" w:cs="Times New Roman"/>
      <w:sz w:val="24"/>
      <w:szCs w:val="24"/>
      <w:lang w:eastAsia="en-GB"/>
    </w:rPr>
  </w:style>
  <w:style w:type="paragraph" w:customStyle="1" w:styleId="Bullet1">
    <w:name w:val="Bullet 1"/>
    <w:basedOn w:val="Normal"/>
    <w:link w:val="Bullet1Char"/>
    <w:uiPriority w:val="99"/>
    <w:rsid w:val="003A6C9B"/>
    <w:pPr>
      <w:keepLines/>
      <w:numPr>
        <w:numId w:val="1"/>
      </w:numPr>
      <w:spacing w:before="100" w:after="0" w:line="240" w:lineRule="auto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A6C9B"/>
    <w:rPr>
      <w:rFonts w:ascii="Arial" w:eastAsia="Times New Roman" w:hAnsi="Arial"/>
      <w:sz w:val="24"/>
      <w:szCs w:val="24"/>
    </w:rPr>
  </w:style>
  <w:style w:type="paragraph" w:customStyle="1" w:styleId="Bodytextnumbered">
    <w:name w:val="Body text (numbered)"/>
    <w:basedOn w:val="BodyText1"/>
    <w:uiPriority w:val="99"/>
    <w:rsid w:val="003A6C9B"/>
    <w:pPr>
      <w:numPr>
        <w:numId w:val="2"/>
      </w:numPr>
      <w:ind w:hanging="170"/>
    </w:pPr>
  </w:style>
  <w:style w:type="character" w:styleId="Hyperlink">
    <w:name w:val="Hyperlink"/>
    <w:basedOn w:val="DefaultParagraphFont"/>
    <w:uiPriority w:val="99"/>
    <w:semiHidden/>
    <w:rsid w:val="00AD44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44C7"/>
    <w:pPr>
      <w:spacing w:after="150" w:line="372" w:lineRule="atLeast"/>
    </w:pPr>
    <w:rPr>
      <w:rFonts w:ascii="Helvetica" w:eastAsia="Times New Roman" w:hAnsi="Helvetica" w:cs="Helvetica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FF14AE"/>
    <w:rPr>
      <w:rFonts w:cs="Times New Roman"/>
      <w:b/>
      <w:bCs/>
    </w:rPr>
  </w:style>
  <w:style w:type="paragraph" w:customStyle="1" w:styleId="ActionPlan">
    <w:name w:val="ActionPlan"/>
    <w:basedOn w:val="Normal"/>
    <w:uiPriority w:val="99"/>
    <w:rsid w:val="00CC09DA"/>
    <w:pPr>
      <w:keepLines/>
      <w:numPr>
        <w:numId w:val="3"/>
      </w:numPr>
      <w:spacing w:before="60" w:after="60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abletext">
    <w:name w:val="Table text"/>
    <w:basedOn w:val="Normal"/>
    <w:uiPriority w:val="99"/>
    <w:rsid w:val="00C073B8"/>
    <w:pPr>
      <w:keepLines/>
      <w:spacing w:before="60" w:after="60" w:line="240" w:lineRule="auto"/>
    </w:pPr>
    <w:rPr>
      <w:rFonts w:ascii="Arial" w:eastAsia="Times New Roman" w:hAnsi="Arial"/>
      <w:sz w:val="24"/>
      <w:szCs w:val="24"/>
      <w:lang w:eastAsia="en-GB"/>
    </w:rPr>
  </w:style>
  <w:style w:type="paragraph" w:customStyle="1" w:styleId="Tableheader">
    <w:name w:val="Table header"/>
    <w:basedOn w:val="Normal"/>
    <w:uiPriority w:val="99"/>
    <w:rsid w:val="00C073B8"/>
    <w:pPr>
      <w:keepLines/>
      <w:spacing w:before="120" w:after="120" w:line="240" w:lineRule="auto"/>
    </w:pPr>
    <w:rPr>
      <w:rFonts w:ascii="Arial" w:eastAsia="Times New Roman" w:hAnsi="Arial"/>
      <w:b/>
      <w:sz w:val="24"/>
      <w:szCs w:val="24"/>
      <w:lang w:eastAsia="en-GB"/>
    </w:rPr>
  </w:style>
  <w:style w:type="paragraph" w:customStyle="1" w:styleId="Figurelead-in">
    <w:name w:val="Figure lead-in"/>
    <w:basedOn w:val="Normal"/>
    <w:next w:val="Bodytextnumbered"/>
    <w:uiPriority w:val="99"/>
    <w:rsid w:val="00C073B8"/>
    <w:pPr>
      <w:keepNext/>
      <w:keepLines/>
      <w:spacing w:before="60" w:after="120" w:line="240" w:lineRule="auto"/>
      <w:ind w:left="397"/>
    </w:pPr>
    <w:rPr>
      <w:rFonts w:ascii="Arial" w:eastAsia="Times New Roman" w:hAnsi="Arial" w:cs="Arial"/>
      <w:sz w:val="24"/>
      <w:szCs w:val="32"/>
      <w:lang w:eastAsia="en-GB"/>
    </w:rPr>
  </w:style>
  <w:style w:type="paragraph" w:customStyle="1" w:styleId="bullet10">
    <w:name w:val="bullet1"/>
    <w:basedOn w:val="Normal"/>
    <w:uiPriority w:val="99"/>
    <w:rsid w:val="004715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7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16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06A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21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216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50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3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5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795C-7375-4DE0-8446-E0FF2EF5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rlowry001</dc:creator>
  <cp:lastModifiedBy>Rawcliffe, Cath</cp:lastModifiedBy>
  <cp:revision>6</cp:revision>
  <dcterms:created xsi:type="dcterms:W3CDTF">2016-03-08T11:34:00Z</dcterms:created>
  <dcterms:modified xsi:type="dcterms:W3CDTF">2016-04-26T15:20:00Z</dcterms:modified>
</cp:coreProperties>
</file>